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0555" w14:textId="77777777" w:rsidR="00C350E9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【15 城的殿和城的光】</w:t>
      </w:r>
    </w:p>
    <w:p w14:paraId="46456CD0" w14:textId="77777777" w:rsidR="00C350E9" w:rsidRDefault="00C350E9">
      <w:pPr>
        <w:rPr>
          <w:rFonts w:ascii="宋体" w:eastAsia="宋体" w:hAnsi="宋体" w:cs="宋体" w:hint="eastAsia"/>
          <w:sz w:val="24"/>
          <w:szCs w:val="24"/>
        </w:rPr>
      </w:pPr>
    </w:p>
    <w:p w14:paraId="04E1F4E9" w14:textId="77777777" w:rsidR="00C350E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启示录二十</w:t>
      </w:r>
      <w:r>
        <w:rPr>
          <w:rFonts w:ascii="宋体" w:eastAsia="宋体" w:hAnsi="宋体" w:hint="eastAsia"/>
          <w:sz w:val="24"/>
          <w:szCs w:val="24"/>
        </w:rPr>
        <w:t>一</w:t>
      </w:r>
      <w:r>
        <w:rPr>
          <w:rFonts w:ascii="宋体" w:eastAsia="宋体" w:hAnsi="宋体" w:cs="宋体" w:hint="eastAsia"/>
          <w:sz w:val="24"/>
          <w:szCs w:val="24"/>
        </w:rPr>
        <w:t>章二十二节：“我未见城内有殿，因主神全能者，和羔羊，为城的殿。”这一句话是特别宝贵！我们知道，在旧约的耶路撒冷里有圣殿，那时人要与神交通，就得到圣殿里去。圣殿就是一个地方，是特别划出来为着神的，人要到那里才能与神交通。但是，在新耶路撒冷里，没有殿，因神和羔羊为城的殿。神和羔羊为城的殿，意思是神与人的来往是直接的，是面对面的，人不必到一个特别的地方才能与神交通。在旧约的时候，殿里有幔子，除了大祭司一年一次以外，没有人能进到神面前去；今天在教会里，幔子已经裂开了，我们都能进到神面前去，用心灵和诚实敬拜祂；到了那一天，是神和羔羊为城的殿，你不必去神那里，神就在你这里。今天是我们到神那里去，那一天是我们活在神面前，神和羔羊就是那城的殿。所以我们今天如果不学习活在至圣所里，就是一个愚昧的人。今天幔子已经裂开了，我们可以坦然无惧的进到至圣所里面，不应当停留在外面。</w:t>
      </w:r>
    </w:p>
    <w:p w14:paraId="417518E1" w14:textId="77777777" w:rsidR="00C350E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二十三节：“那城内又不用日月光照；因有神的荣耀光照；又有羔羊为城的灯。”这是和上文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的殿连起来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。神和羔羊为城的殿，有神的荣耀光照，就用不着日月光照。我们知道，旧约的圣殿，外院是用日月的光来照亮的，圣所是用灯台的光来照亮的，但是至圣所没有窗，日月的光照不进去，也没有灯，乃是有神的荣耀在里面光照。新耶路撒冷用不着日月的光照，只有神的荣耀光照，这就是告诉我们，整个城是至圣所。教会在将来就变作至圣所。</w:t>
      </w:r>
    </w:p>
    <w:p w14:paraId="244703EC" w14:textId="77777777" w:rsidR="00C350E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又有羔羊为城的灯。”神的荣耀作光，羔羊作灯，可见在新耶路撒冷还存在着一种转折的工作。（但是，这里并没有赎罪的意思。）神是光，羔羊是灯，光是借着羔羊发出来的。没有一个人能直接认识神，人要认识神，必须借着羔羊。到永世里也是这样，人还得借着基督才能认识神。我们若不借着灯，就看不见光；照样，若不借着基督，就看不见神。无论如何，神是住在人不能靠近的光里，我们在基督里才能看见祂。</w:t>
      </w:r>
    </w:p>
    <w:p w14:paraId="473F8C4D" w14:textId="77777777" w:rsidR="00C350E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二十四节：“列国要在城的光里行走；地上的君王必将自己的荣耀归于那城。”在这里我们要注意一件事，就是神在列祖时代、律法时代、恩典时代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的人，到了那一天，他们是合成一个新妇献给基督；至于那些到国度时代末了还活着而没有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受撒但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迷惑的人，他们要过渡到新地去作百姓，就是这里所说的列国。在城里的人，都是复活的身体，他们是儿子，是作王的；在新地的人，他们还是有血肉身体的人，他们在那里成为列国，是作百姓的。地上的君王，是管理列国的人。</w:t>
      </w:r>
    </w:p>
    <w:p w14:paraId="6281CEA5" w14:textId="77777777" w:rsidR="00C350E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在旧约里，帐幕是这样安排的：帐幕在中间，东边有三个支派住在那里，西边有三个支派住在那里，南边有三个支派住在那里，北边有三个支派住在那里，这是民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数记告诉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我们的。新耶路撒冷也像神的帐幕一样：东西南北各有三个门，共有十二个门，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在会幕四周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怎样住有十二个支派，照样也有列国住在新耶路撒冷的四周。</w:t>
      </w:r>
    </w:p>
    <w:p w14:paraId="6CD755FA" w14:textId="77777777" w:rsidR="00C350E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“行走”是指着地上列国的人要到新耶路撒冷来。他们行走到新耶路撒冷，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是借城的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光所指引的。</w:t>
      </w:r>
    </w:p>
    <w:p w14:paraId="537DF453" w14:textId="77777777" w:rsidR="00C350E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这里的“荣耀”，是地上君王自己的荣耀。他们必将他们作君王的荣耀归与那城。这“荣耀”也可能和创世记三十一章一节的“荣耀”有同样的意思，是指各地最好的出产而言。换句话说，在新地上，地上的君王要将他们本地所出产的美好的东西当作礼物归给圣城。</w:t>
      </w:r>
    </w:p>
    <w:p w14:paraId="4A3B66B7" w14:textId="77777777" w:rsidR="00C350E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二十五节：“城门白昼总不关闭；在那里原没有黑夜。”既说“白昼总不关闭”，可见新天新地时还有昼夜之分。列国可以在他们的白昼到城里来。不过，“在那里原没有黑夜，”在城里是没有黑夜的。住在城里的人，因有复活的身体，所以不会乏倦，能以昼夜事奉神。</w:t>
      </w:r>
    </w:p>
    <w:p w14:paraId="2EB3CF1C" w14:textId="77777777" w:rsidR="00C350E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二十六节：“人必将列国的荣耀尊贵归与那城。”“人”照原文应译作“他们”，这是指二十四节所说的君王而言。地上的君王不但把他们自己的荣耀归与那城，并且必将列国的荣耀尊贵归与那城。</w:t>
      </w:r>
    </w:p>
    <w:p w14:paraId="431D3E7D" w14:textId="77777777" w:rsidR="00C350E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十七节：“凡不洁净的，并那行可憎与虚谎之事的，总不得进那城；只有名字写在羔羊生命册上的才得进去。”“不洁净的”，原文的意思乃是“平常的”。凡出于人的，都是平常的；凡属肉体的，都是平常的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一切属乎人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属乎肉体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的，都不得进那城。只有出乎基督的，出乎圣灵的，才能进去，其余的根本就不能进去。“可憎的”，在圣经里是特别指着拜偶像说的。“虚谎之事”，就是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和撒但发生关系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的，因为虚谎是出于撒但。所有和偶像发生关系的，和罪发生关系的，都不得进那城，只有名字写在羔羊生命册上的，才得进那城。新天新地里，住有两种人：一种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是靠血得救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，住在城里的人，这些人的名字写在生命册上；还有一种是从千年国过渡过来的活人，就是住在新地上作居民的人，他们的名字也写在生命册上，但他们不是住在城里，只能在城中出入。</w:t>
      </w:r>
    </w:p>
    <w:p w14:paraId="0968309C" w14:textId="77777777" w:rsidR="00C350E9" w:rsidRDefault="00C350E9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3FCEB82A" w:rsidR="00C350E9" w:rsidRPr="002E6B3B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17-15）</w:t>
      </w:r>
    </w:p>
    <w:sectPr w:rsidR="00C350E9" w:rsidRPr="002E6B3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4505F" w14:textId="77777777" w:rsidR="00327C67" w:rsidRDefault="00327C67" w:rsidP="002E6B3B">
      <w:pPr>
        <w:rPr>
          <w:rFonts w:hint="eastAsia"/>
        </w:rPr>
      </w:pPr>
      <w:r>
        <w:separator/>
      </w:r>
    </w:p>
  </w:endnote>
  <w:endnote w:type="continuationSeparator" w:id="0">
    <w:p w14:paraId="69A85247" w14:textId="77777777" w:rsidR="00327C67" w:rsidRDefault="00327C67" w:rsidP="002E6B3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F220" w14:textId="77777777" w:rsidR="00327C67" w:rsidRDefault="00327C67" w:rsidP="002E6B3B">
      <w:pPr>
        <w:rPr>
          <w:rFonts w:hint="eastAsia"/>
        </w:rPr>
      </w:pPr>
      <w:r>
        <w:separator/>
      </w:r>
    </w:p>
  </w:footnote>
  <w:footnote w:type="continuationSeparator" w:id="0">
    <w:p w14:paraId="626E3BA3" w14:textId="77777777" w:rsidR="00327C67" w:rsidRDefault="00327C67" w:rsidP="002E6B3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2E6B3B"/>
    <w:rsid w:val="00327C67"/>
    <w:rsid w:val="00867F62"/>
    <w:rsid w:val="00C350E9"/>
    <w:rsid w:val="019D73AC"/>
    <w:rsid w:val="12A97772"/>
    <w:rsid w:val="1E635289"/>
    <w:rsid w:val="240C43C6"/>
    <w:rsid w:val="2916166F"/>
    <w:rsid w:val="2F2A4D84"/>
    <w:rsid w:val="54E725D7"/>
    <w:rsid w:val="584D550B"/>
    <w:rsid w:val="652504BB"/>
    <w:rsid w:val="65A00245"/>
    <w:rsid w:val="6906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919BC2"/>
  <w15:docId w15:val="{A8ADE0D3-EDEC-48F4-9C7C-A61C1D57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6B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E6B3B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2E6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E6B3B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2026-08-18T00:39:00Z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